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0A9C8" w14:textId="77777777" w:rsidR="00BF102B" w:rsidRPr="006901AE" w:rsidRDefault="00BF102B" w:rsidP="006901AE">
      <w:pPr>
        <w:widowControl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01AE">
        <w:rPr>
          <w:rFonts w:ascii="Times New Roman" w:eastAsia="黑体" w:hAnsi="Times New Roman"/>
          <w:b/>
          <w:color w:val="000000"/>
          <w:sz w:val="28"/>
          <w:szCs w:val="28"/>
        </w:rPr>
        <w:t>Qualifying Examination (Quals)</w:t>
      </w:r>
    </w:p>
    <w:p w14:paraId="2FDE432F" w14:textId="77402BA5" w:rsidR="00D7143E" w:rsidRPr="00D7143E" w:rsidRDefault="00D7143E" w:rsidP="00BF102B">
      <w:pPr>
        <w:pStyle w:val="a7"/>
        <w:widowControl/>
        <w:ind w:left="360" w:firstLineChars="0" w:firstLine="0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D7143E">
        <w:rPr>
          <w:rFonts w:ascii="Times New Roman" w:eastAsia="黑体" w:hAnsi="Times New Roman" w:hint="eastAsia"/>
          <w:b/>
          <w:color w:val="000000"/>
          <w:sz w:val="24"/>
          <w:szCs w:val="24"/>
        </w:rPr>
        <w:t xml:space="preserve">Rules and </w:t>
      </w:r>
      <w:r w:rsidR="005A6D35">
        <w:rPr>
          <w:rFonts w:ascii="Times New Roman" w:eastAsia="黑体" w:hAnsi="Times New Roman" w:hint="eastAsia"/>
          <w:b/>
          <w:color w:val="000000"/>
          <w:sz w:val="24"/>
          <w:szCs w:val="24"/>
        </w:rPr>
        <w:t>Instructions</w:t>
      </w:r>
    </w:p>
    <w:p w14:paraId="7CC440B5" w14:textId="77777777" w:rsidR="00D7143E" w:rsidRPr="00A204E8" w:rsidRDefault="00D7143E" w:rsidP="00A204E8">
      <w:pPr>
        <w:pStyle w:val="a7"/>
        <w:spacing w:line="360" w:lineRule="auto"/>
        <w:ind w:left="357" w:firstLine="48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OLE_LINK12"/>
      <w:bookmarkStart w:id="1" w:name="OLE_LINK13"/>
    </w:p>
    <w:p w14:paraId="0FF34968" w14:textId="238A1FF9" w:rsidR="00BF102B" w:rsidRPr="00A204E8" w:rsidRDefault="00BF102B" w:rsidP="00A204E8">
      <w:pPr>
        <w:pStyle w:val="a7"/>
        <w:spacing w:line="360" w:lineRule="auto"/>
        <w:ind w:left="357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A204E8">
        <w:rPr>
          <w:rFonts w:ascii="Times New Roman" w:hAnsi="Times New Roman" w:cs="Times New Roman"/>
          <w:color w:val="000000"/>
          <w:sz w:val="24"/>
          <w:szCs w:val="24"/>
        </w:rPr>
        <w:t xml:space="preserve">The Qualifying Examination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(Quals) </w:t>
      </w:r>
      <w:r w:rsidRPr="00A204E8">
        <w:rPr>
          <w:rFonts w:ascii="Times New Roman" w:hAnsi="Times New Roman" w:cs="Times New Roman"/>
          <w:color w:val="000000"/>
          <w:sz w:val="24"/>
          <w:szCs w:val="24"/>
        </w:rPr>
        <w:t xml:space="preserve">is an important checkpoint meant to </w:t>
      </w:r>
      <w:r w:rsidR="00D7143E" w:rsidRPr="00A204E8">
        <w:rPr>
          <w:rFonts w:ascii="Times New Roman" w:hAnsi="Times New Roman" w:cs="Times New Roman"/>
          <w:color w:val="000000"/>
          <w:sz w:val="24"/>
          <w:szCs w:val="24"/>
        </w:rPr>
        <w:t>show</w:t>
      </w:r>
      <w:r w:rsidRPr="00A204E8">
        <w:rPr>
          <w:rFonts w:ascii="Times New Roman" w:hAnsi="Times New Roman" w:cs="Times New Roman"/>
          <w:color w:val="000000"/>
          <w:sz w:val="24"/>
          <w:szCs w:val="24"/>
        </w:rPr>
        <w:t xml:space="preserve"> that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students are on a promising research track toward a Ph.D. degree. The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includes a written report and a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n oral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presentation of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proposal and ongoing work. </w:t>
      </w:r>
    </w:p>
    <w:bookmarkEnd w:id="0"/>
    <w:bookmarkEnd w:id="1"/>
    <w:p w14:paraId="0353D2C2" w14:textId="5CA67D89" w:rsidR="00BF102B" w:rsidRPr="00A204E8" w:rsidRDefault="00D573AE" w:rsidP="00A204E8">
      <w:pPr>
        <w:pStyle w:val="a7"/>
        <w:spacing w:line="360" w:lineRule="auto"/>
        <w:ind w:left="357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is administered by the student’s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>Committee, which should consist of four PIs from</w:t>
      </w:r>
      <w:r w:rsidRPr="00D573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sz w:val="24"/>
          <w:szCs w:val="24"/>
        </w:rPr>
        <w:t xml:space="preserve">TBSI. The committee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shall evaluate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both the proposal and progress of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="009A6BAF"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dissertation work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1C903E4" w14:textId="59211805" w:rsidR="00BF102B" w:rsidRPr="00A204E8" w:rsidRDefault="00D573AE" w:rsidP="00A204E8">
      <w:pPr>
        <w:pStyle w:val="a7"/>
        <w:spacing w:line="360" w:lineRule="auto"/>
        <w:ind w:left="357" w:firstLine="48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The purpose of the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is to test students' mastery of the knowledge in their academic field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s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, understanding of basic theoretical knowledge and to examine students’ capability of independent research, dialectical thinking and ability to complete their doctoral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dissertations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7A70A23" w14:textId="6428EC22" w:rsidR="009575B9" w:rsidRDefault="00D573AE" w:rsidP="009575B9">
      <w:pPr>
        <w:widowControl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>1. Exam Format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</w:p>
    <w:p w14:paraId="3E3CB60F" w14:textId="702723C1" w:rsidR="009575B9" w:rsidRPr="009575B9" w:rsidRDefault="009575B9" w:rsidP="009575B9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Format: Oral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presentation</w:t>
      </w:r>
      <w:r w:rsidR="009A6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3A4">
        <w:rPr>
          <w:rFonts w:ascii="Times New Roman" w:hAnsi="Times New Roman" w:cs="Times New Roman"/>
          <w:color w:val="000000"/>
          <w:sz w:val="24"/>
          <w:szCs w:val="24"/>
        </w:rPr>
        <w:t>and written report</w:t>
      </w:r>
    </w:p>
    <w:p w14:paraId="3A213305" w14:textId="2893A424" w:rsidR="009575B9" w:rsidRPr="009575B9" w:rsidRDefault="009575B9" w:rsidP="009575B9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>Language: English</w:t>
      </w:r>
    </w:p>
    <w:p w14:paraId="26AF0AEE" w14:textId="5CCDE102" w:rsidR="009575B9" w:rsidRPr="009575B9" w:rsidRDefault="009A6BAF" w:rsidP="009575B9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Score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>: Pass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or 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>Fail</w:t>
      </w:r>
    </w:p>
    <w:p w14:paraId="24430436" w14:textId="613DFA31" w:rsidR="009575B9" w:rsidRDefault="00D573AE" w:rsidP="009575B9">
      <w:pPr>
        <w:widowControl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A6BAF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9A6BAF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Committee: </w:t>
      </w:r>
    </w:p>
    <w:p w14:paraId="3A05447D" w14:textId="0EC88084" w:rsidR="009575B9" w:rsidRDefault="00AD63F1" w:rsidP="009575B9">
      <w:pPr>
        <w:widowControl/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A204E8">
        <w:rPr>
          <w:rFonts w:ascii="Times New Roman" w:hAnsi="Times New Roman" w:cs="Times New Roman"/>
          <w:color w:val="000000"/>
          <w:sz w:val="24"/>
          <w:szCs w:val="24"/>
        </w:rPr>
        <w:t xml:space="preserve">A student should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invite four TBSI PIs </w:t>
      </w:r>
      <w:r w:rsidR="001063A4">
        <w:rPr>
          <w:rFonts w:ascii="Times New Roman" w:hAnsi="Times New Roman" w:cs="Times New Roman"/>
          <w:color w:val="000000"/>
          <w:sz w:val="24"/>
          <w:szCs w:val="24"/>
        </w:rPr>
        <w:t>suggested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by the student’s academic advisor(s) to for</w:t>
      </w:r>
      <w:r w:rsidRPr="00A204E8">
        <w:rPr>
          <w:rFonts w:ascii="Times New Roman" w:hAnsi="Times New Roman" w:cs="Times New Roman"/>
          <w:color w:val="000000"/>
          <w:sz w:val="24"/>
          <w:szCs w:val="24"/>
        </w:rPr>
        <w:t>m the committee</w:t>
      </w:r>
      <w:r w:rsidR="001063A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063A4">
        <w:rPr>
          <w:rFonts w:ascii="Times New Roman" w:hAnsi="Times New Roman" w:cs="Times New Roman"/>
          <w:color w:val="000000"/>
          <w:sz w:val="24"/>
          <w:szCs w:val="24"/>
        </w:rPr>
        <w:t xml:space="preserve">The four committee members must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include at least two inside members (PIs from the student’s home track) and one to two outside member</w:t>
      </w:r>
      <w:r w:rsidR="00FA72F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(PIs from another track). </w:t>
      </w:r>
      <w:r w:rsidR="00FA72FF">
        <w:rPr>
          <w:rFonts w:ascii="Times New Roman" w:hAnsi="Times New Roman" w:cs="Times New Roman"/>
          <w:color w:val="000000"/>
          <w:sz w:val="24"/>
          <w:szCs w:val="24"/>
        </w:rPr>
        <w:t>One of the four committee members must be a TBSI PI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from UC Berkeley</w:t>
      </w:r>
      <w:r w:rsidR="00FA72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Occasionally, a non-TBSI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expert</w:t>
      </w:r>
      <w:r w:rsidR="00B77EAC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3E0F">
        <w:rPr>
          <w:rFonts w:ascii="Times New Roman" w:hAnsi="Times New Roman" w:cs="Times New Roman"/>
          <w:color w:val="000000"/>
          <w:sz w:val="24"/>
          <w:szCs w:val="24"/>
        </w:rPr>
        <w:t xml:space="preserve">who is entitled to advise doctoral students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can be included as a committee member upon approval by Committee of Student Education (CSE). In this case, the student must submit credentials of the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expert</w:t>
      </w:r>
      <w:r w:rsidR="00B77EAC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and a statement articulating reasons and benefits for the inclusion of this non-TBSI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expert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7214413" w14:textId="77777777" w:rsidR="009575B9" w:rsidRDefault="00D573AE" w:rsidP="009575B9">
      <w:pPr>
        <w:widowControl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>3. Application Requirements:</w:t>
      </w:r>
    </w:p>
    <w:p w14:paraId="523D96D8" w14:textId="77777777" w:rsidR="009575B9" w:rsidRPr="009575B9" w:rsidRDefault="009575B9" w:rsidP="009575B9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OLE_LINK1"/>
      <w:bookmarkStart w:id="3" w:name="OLE_LINK2"/>
      <w:r w:rsidRPr="009575B9">
        <w:rPr>
          <w:rFonts w:ascii="Times New Roman" w:hAnsi="Times New Roman" w:cs="Times New Roman"/>
          <w:color w:val="000000"/>
          <w:sz w:val="24"/>
          <w:szCs w:val="24"/>
        </w:rPr>
        <w:lastRenderedPageBreak/>
        <w:t>Average Grade: An average grade of at least B in all courses taken at TBSI.</w:t>
      </w:r>
    </w:p>
    <w:p w14:paraId="1FD0C5BF" w14:textId="77777777" w:rsidR="009575B9" w:rsidRPr="009575B9" w:rsidRDefault="009575B9" w:rsidP="009575B9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>Minimum Total Credits: 20 credits and above.</w:t>
      </w:r>
    </w:p>
    <w:p w14:paraId="273EEBBB" w14:textId="77777777" w:rsidR="009575B9" w:rsidRPr="009575B9" w:rsidRDefault="009575B9" w:rsidP="009575B9">
      <w:pPr>
        <w:pStyle w:val="a7"/>
        <w:widowControl/>
        <w:numPr>
          <w:ilvl w:val="0"/>
          <w:numId w:val="5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>Time Requirements:</w:t>
      </w:r>
    </w:p>
    <w:p w14:paraId="33E63961" w14:textId="77777777" w:rsidR="009575B9" w:rsidRDefault="00D573AE" w:rsidP="009575B9">
      <w:pPr>
        <w:pStyle w:val="a7"/>
        <w:widowControl/>
        <w:numPr>
          <w:ilvl w:val="0"/>
          <w:numId w:val="7"/>
        </w:numPr>
        <w:spacing w:line="360" w:lineRule="auto"/>
        <w:ind w:left="1710" w:firstLineChars="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>Eligible applicants should have completed at least one year of residence at TBSI and have passed the Preliminary Examination;</w:t>
      </w:r>
    </w:p>
    <w:p w14:paraId="22340CEA" w14:textId="77777777" w:rsidR="009575B9" w:rsidRDefault="00D573AE" w:rsidP="009575B9">
      <w:pPr>
        <w:pStyle w:val="a7"/>
        <w:widowControl/>
        <w:numPr>
          <w:ilvl w:val="0"/>
          <w:numId w:val="7"/>
        </w:numPr>
        <w:spacing w:line="360" w:lineRule="auto"/>
        <w:ind w:left="1710" w:firstLineChars="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>Usually, students should make their exchange visit to UC Berkeley prior to Quals and may apply for Quals during their visit at UC Berkeley;</w:t>
      </w:r>
    </w:p>
    <w:p w14:paraId="41E03C35" w14:textId="459196B3" w:rsidR="009575B9" w:rsidRPr="009575B9" w:rsidRDefault="00D573AE" w:rsidP="009575B9">
      <w:pPr>
        <w:pStyle w:val="a7"/>
        <w:widowControl/>
        <w:numPr>
          <w:ilvl w:val="0"/>
          <w:numId w:val="7"/>
        </w:numPr>
        <w:spacing w:line="360" w:lineRule="auto"/>
        <w:ind w:left="1710" w:firstLineChars="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Students should pass the Quals by the end of their </w:t>
      </w:r>
      <w:r w:rsidR="00F310F2">
        <w:rPr>
          <w:rFonts w:ascii="Times New Roman" w:hAnsi="Times New Roman" w:cs="Times New Roman"/>
          <w:color w:val="000000"/>
          <w:sz w:val="24"/>
          <w:szCs w:val="24"/>
        </w:rPr>
        <w:t>fourth</w:t>
      </w:r>
      <w:r w:rsidR="00F310F2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>year of program study;</w:t>
      </w:r>
    </w:p>
    <w:p w14:paraId="527296DE" w14:textId="1B0384E3" w:rsidR="009575B9" w:rsidRPr="009575B9" w:rsidRDefault="009575B9" w:rsidP="009575B9">
      <w:pPr>
        <w:pStyle w:val="a7"/>
        <w:widowControl/>
        <w:numPr>
          <w:ilvl w:val="0"/>
          <w:numId w:val="7"/>
        </w:numPr>
        <w:spacing w:line="360" w:lineRule="auto"/>
        <w:ind w:left="1710" w:firstLineChars="0"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After passing the Quals, a student must spend at least one semester (or better one year or more) at TBSI before defending his/her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End w:id="2"/>
    <w:bookmarkEnd w:id="3"/>
    <w:p w14:paraId="1112A5C8" w14:textId="77777777" w:rsidR="009575B9" w:rsidRDefault="00D573AE" w:rsidP="009575B9">
      <w:pPr>
        <w:widowControl/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4. Examination Procedure: </w:t>
      </w:r>
    </w:p>
    <w:p w14:paraId="136EA90C" w14:textId="34012235" w:rsidR="009575B9" w:rsidRPr="009575B9" w:rsidRDefault="00D573AE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To start the process, the student first consults with his/her advisor(s), who should evaluate the student’s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B77EAC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progress and, if satisfactory, 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recommend a list of TBSI faculty members as candidates for the student’s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B77EAC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>committee.</w:t>
      </w:r>
    </w:p>
    <w:p w14:paraId="1757FE77" w14:textId="101CE2A3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The student invites three faculty members from the list to serve on his/her Thesis Committee. The whole committee should consist of four members, including the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advisor(s). At least two members are inside-track PIs; one to two members are outside-track PIs</w:t>
      </w:r>
      <w:r w:rsidR="00F310F2">
        <w:rPr>
          <w:rFonts w:ascii="Times New Roman" w:hAnsi="Times New Roman" w:cs="Times New Roman"/>
          <w:color w:val="000000"/>
          <w:sz w:val="24"/>
          <w:szCs w:val="24"/>
        </w:rPr>
        <w:t>, and one TBSI UCB PI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>. See details in Rule “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Committee” above. </w:t>
      </w:r>
    </w:p>
    <w:p w14:paraId="25C9CB30" w14:textId="0A621F18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After the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Committee is determined, the student submit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a written report to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Committee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members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at least 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three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weeks prior to the Qualifying examination date. The report should be prepared in the form of a Ph.D. (partial)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documenting any research progress to date (including, but not limited to, proposed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title,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abstract, literature review, preliminary results, and future work), demonstrating feasibility and potential academic values of the </w:t>
      </w:r>
      <w:r w:rsidR="00B77EAC">
        <w:rPr>
          <w:rFonts w:ascii="Times New Roman" w:hAnsi="Times New Roman" w:cs="Times New Roman"/>
          <w:color w:val="000000"/>
          <w:sz w:val="24"/>
          <w:szCs w:val="24"/>
        </w:rPr>
        <w:t>dissertation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984AD81" w14:textId="13CAE7A0" w:rsidR="009575B9" w:rsidRPr="009575B9" w:rsidRDefault="00D573AE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Two weeks after 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submitting 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>the report, the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student fills out a Qualifying Examination application form obtainable from the Education Office. The form must be signed by advisor</w:t>
      </w:r>
      <w:r w:rsidR="00B77EAC">
        <w:rPr>
          <w:rFonts w:ascii="Times New Roman" w:hAnsi="Times New Roman" w:cs="Times New Roman" w:hint="eastAsia"/>
          <w:color w:val="000000"/>
          <w:sz w:val="24"/>
          <w:szCs w:val="24"/>
        </w:rPr>
        <w:t>(s)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and at least another thesis committee member.</w:t>
      </w:r>
    </w:p>
    <w:p w14:paraId="02010921" w14:textId="4C9B0446" w:rsidR="009575B9" w:rsidRPr="009575B9" w:rsidRDefault="00F310F2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 least one week before the exam, student must submit t</w:t>
      </w:r>
      <w:r w:rsidR="009575B9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he signed application form to the Education Office. </w:t>
      </w:r>
      <w:r w:rsidR="00DD6F7C">
        <w:rPr>
          <w:rFonts w:ascii="Times New Roman" w:hAnsi="Times New Roman" w:cs="Times New Roman" w:hint="eastAsia"/>
          <w:color w:val="000000"/>
          <w:sz w:val="24"/>
          <w:szCs w:val="24"/>
        </w:rPr>
        <w:t>Education Office will verify and inform the students whether all application requirements are met.</w:t>
      </w:r>
    </w:p>
    <w:p w14:paraId="7CC7F39A" w14:textId="18CB5FF3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On the day of the exam, the student gives a 40-minute oral presentation to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Committee. General public can be invited to the presentation at the discretion of the student’s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advisor. The presentation is followed by a Q&amp;A session of no less than 20 minutes. </w:t>
      </w:r>
    </w:p>
    <w:p w14:paraId="1DD95921" w14:textId="5A8BB5C8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After the Q&amp;A, the student is asked to wait outside the room while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Committee hosts a closed-door discussion on the result of the exam.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Committee is obliged to comment and grade (pass or not) the student’s Quals. The student is invited back to the room when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>Committee has reached an agreement.</w:t>
      </w:r>
    </w:p>
    <w:p w14:paraId="363D0D0C" w14:textId="1DEF8C82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Committee should make every attempt to reach a </w:t>
      </w:r>
      <w:bookmarkStart w:id="4" w:name="OLE_LINK6"/>
      <w:bookmarkStart w:id="5" w:name="OLE_LINK7"/>
      <w:r w:rsidRPr="009575B9">
        <w:rPr>
          <w:rFonts w:ascii="Times New Roman" w:hAnsi="Times New Roman" w:cs="Times New Roman"/>
          <w:color w:val="000000"/>
          <w:sz w:val="24"/>
          <w:szCs w:val="24"/>
        </w:rPr>
        <w:t>unanimous</w:t>
      </w:r>
      <w:bookmarkEnd w:id="4"/>
      <w:bookmarkEnd w:id="5"/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decision (that is, pass or fail). After a unanimous decision is made, each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>Committee member must sign the Qualifying Examination form, which should be returned to the CSE.</w:t>
      </w:r>
    </w:p>
    <w:p w14:paraId="5F2A58D4" w14:textId="0341E751" w:rsidR="009575B9" w:rsidRPr="009575B9" w:rsidRDefault="009575B9" w:rsidP="009575B9">
      <w:pPr>
        <w:pStyle w:val="a7"/>
        <w:widowControl/>
        <w:numPr>
          <w:ilvl w:val="0"/>
          <w:numId w:val="11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>If unanimity cannot be reach even after an extensive discussion, the Qual</w:t>
      </w:r>
      <w:r w:rsidR="00D573AE" w:rsidRPr="00D573AE">
        <w:rPr>
          <w:rFonts w:ascii="Times New Roman" w:hAnsi="Times New Roman" w:cs="Times New Roman"/>
          <w:color w:val="000000"/>
          <w:sz w:val="24"/>
          <w:szCs w:val="24"/>
        </w:rPr>
        <w:t>ifying exam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is considered a failure. Each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Committee member should then write a detailed assessment of the student’s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dissertation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progress for submission to the CSE.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dvisor(s), in addition to his/her own assessment, should prepare and submit to the CSE an unbiased summary explaining what the disagreement was and why. </w:t>
      </w:r>
    </w:p>
    <w:p w14:paraId="769EA430" w14:textId="71FFCAD1" w:rsidR="009575B9" w:rsidRDefault="00D573AE" w:rsidP="009575B9">
      <w:pPr>
        <w:widowControl/>
        <w:spacing w:line="360" w:lineRule="auto"/>
        <w:ind w:left="357"/>
        <w:rPr>
          <w:rFonts w:ascii="Times New Roman" w:hAnsi="Times New Roman" w:cs="Times New Roman"/>
          <w:color w:val="000000"/>
          <w:sz w:val="24"/>
          <w:szCs w:val="24"/>
        </w:rPr>
      </w:pPr>
      <w:r w:rsidRPr="00D573AE">
        <w:rPr>
          <w:rFonts w:ascii="Times New Roman" w:hAnsi="Times New Roman" w:cs="Times New Roman"/>
          <w:color w:val="000000"/>
          <w:sz w:val="24"/>
          <w:szCs w:val="24"/>
        </w:rPr>
        <w:t xml:space="preserve">5. Important </w:t>
      </w:r>
      <w:r w:rsidR="00F310F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D573AE">
        <w:rPr>
          <w:rFonts w:ascii="Times New Roman" w:hAnsi="Times New Roman" w:cs="Times New Roman"/>
          <w:color w:val="000000"/>
          <w:sz w:val="24"/>
          <w:szCs w:val="24"/>
        </w:rPr>
        <w:t>otification:</w:t>
      </w:r>
    </w:p>
    <w:p w14:paraId="3F0DCA36" w14:textId="2A1A9BC1" w:rsidR="009575B9" w:rsidRPr="009575B9" w:rsidRDefault="009575B9" w:rsidP="009575B9">
      <w:pPr>
        <w:pStyle w:val="a7"/>
        <w:widowControl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Once </w:t>
      </w:r>
      <w:r w:rsidR="008008ED" w:rsidRPr="009575B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10F2">
        <w:rPr>
          <w:rFonts w:ascii="Times New Roman" w:hAnsi="Times New Roman" w:cs="Times New Roman"/>
          <w:color w:val="000000"/>
          <w:sz w:val="24"/>
          <w:szCs w:val="24"/>
        </w:rPr>
        <w:t xml:space="preserve">Quals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application is approved by the Education Office, the applicant should pass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within 18 months. Eligibility continues if the student fails on the first attempt and he/she can retake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within the 18-month period. If a student does not pass the </w:t>
      </w:r>
      <w:r w:rsidR="005A6D35">
        <w:rPr>
          <w:rFonts w:ascii="Times New Roman" w:hAnsi="Times New Roman" w:cs="Times New Roman" w:hint="eastAsia"/>
          <w:color w:val="000000"/>
          <w:sz w:val="24"/>
          <w:szCs w:val="24"/>
        </w:rPr>
        <w:t>Quals</w:t>
      </w:r>
      <w:r w:rsidR="005A6D35"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within the 18-month period, he or she must file a new application. </w:t>
      </w:r>
    </w:p>
    <w:p w14:paraId="0F134E5D" w14:textId="1C919BB5" w:rsidR="009575B9" w:rsidRPr="009575B9" w:rsidRDefault="009575B9" w:rsidP="00852593">
      <w:pPr>
        <w:pStyle w:val="a7"/>
        <w:widowControl/>
        <w:numPr>
          <w:ilvl w:val="0"/>
          <w:numId w:val="13"/>
        </w:numPr>
        <w:spacing w:line="360" w:lineRule="auto"/>
        <w:ind w:firstLineChars="0"/>
        <w:rPr>
          <w:rFonts w:ascii="Times New Roman" w:hAnsi="Times New Roman" w:cs="Times New Roman"/>
          <w:color w:val="000000"/>
          <w:sz w:val="24"/>
          <w:szCs w:val="24"/>
        </w:rPr>
      </w:pPr>
      <w:r w:rsidRPr="009575B9">
        <w:rPr>
          <w:rFonts w:ascii="Times New Roman" w:hAnsi="Times New Roman" w:cs="Times New Roman"/>
          <w:color w:val="000000"/>
          <w:sz w:val="24"/>
          <w:szCs w:val="24"/>
        </w:rPr>
        <w:t xml:space="preserve">Students who fail twice will not be able to continue their doctoral studies, and therefore, </w:t>
      </w:r>
      <w:r w:rsidR="00852593" w:rsidRPr="00852593">
        <w:rPr>
          <w:rFonts w:ascii="Times New Roman" w:hAnsi="Times New Roman" w:cs="Times New Roman"/>
          <w:color w:val="000000"/>
          <w:sz w:val="24"/>
          <w:szCs w:val="24"/>
        </w:rPr>
        <w:t>actions can be taken according to the “Procedures and Rules of Tsinghua University Graduate Degrees”, such as dismissal from the program</w:t>
      </w:r>
      <w:r w:rsidRPr="009575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209F8" w14:textId="77777777" w:rsidR="00842319" w:rsidRDefault="00842319">
      <w:pPr>
        <w:rPr>
          <w:rFonts w:ascii="Times New Roman" w:hAnsi="Times New Roman" w:cs="Times New Roman"/>
        </w:rPr>
      </w:pPr>
      <w:bookmarkStart w:id="6" w:name="_GoBack"/>
      <w:bookmarkEnd w:id="6"/>
    </w:p>
    <w:sectPr w:rsidR="00842319" w:rsidSect="00423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A1967" w14:textId="77777777" w:rsidR="00E342FF" w:rsidRDefault="00E342FF" w:rsidP="00BF102B">
      <w:r>
        <w:separator/>
      </w:r>
    </w:p>
  </w:endnote>
  <w:endnote w:type="continuationSeparator" w:id="0">
    <w:p w14:paraId="0DF99B39" w14:textId="77777777" w:rsidR="00E342FF" w:rsidRDefault="00E342FF" w:rsidP="00B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22999" w14:textId="77777777" w:rsidR="00E342FF" w:rsidRDefault="00E342FF" w:rsidP="00BF102B">
      <w:r>
        <w:separator/>
      </w:r>
    </w:p>
  </w:footnote>
  <w:footnote w:type="continuationSeparator" w:id="0">
    <w:p w14:paraId="11272A16" w14:textId="77777777" w:rsidR="00E342FF" w:rsidRDefault="00E342FF" w:rsidP="00BF1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67"/>
    <w:multiLevelType w:val="hybridMultilevel"/>
    <w:tmpl w:val="005AEC9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CA243C2C">
      <w:start w:val="1"/>
      <w:numFmt w:val="decimal"/>
      <w:lvlText w:val="%2)"/>
      <w:lvlJc w:val="left"/>
      <w:pPr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1" w15:restartNumberingAfterBreak="0">
    <w:nsid w:val="040E2B35"/>
    <w:multiLevelType w:val="hybridMultilevel"/>
    <w:tmpl w:val="DACE9736"/>
    <w:lvl w:ilvl="0" w:tplc="F4AE4B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1582308"/>
    <w:multiLevelType w:val="hybridMultilevel"/>
    <w:tmpl w:val="B31E3AAA"/>
    <w:lvl w:ilvl="0" w:tplc="649AF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D60"/>
    <w:multiLevelType w:val="hybridMultilevel"/>
    <w:tmpl w:val="7C5066B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A92531"/>
    <w:multiLevelType w:val="hybridMultilevel"/>
    <w:tmpl w:val="FA9251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AC86889"/>
    <w:multiLevelType w:val="hybridMultilevel"/>
    <w:tmpl w:val="3942E1D2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3BAF7629"/>
    <w:multiLevelType w:val="hybridMultilevel"/>
    <w:tmpl w:val="AF609A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7A7D18"/>
    <w:multiLevelType w:val="hybridMultilevel"/>
    <w:tmpl w:val="A3BC167C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4EF1B03"/>
    <w:multiLevelType w:val="hybridMultilevel"/>
    <w:tmpl w:val="09F2DD40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9" w15:restartNumberingAfterBreak="0">
    <w:nsid w:val="5CCA0BC9"/>
    <w:multiLevelType w:val="hybridMultilevel"/>
    <w:tmpl w:val="427C25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1F674A"/>
    <w:multiLevelType w:val="hybridMultilevel"/>
    <w:tmpl w:val="8E409172"/>
    <w:lvl w:ilvl="0" w:tplc="4B346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BC6"/>
    <w:multiLevelType w:val="hybridMultilevel"/>
    <w:tmpl w:val="FE4C752C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75CA1CDF"/>
    <w:multiLevelType w:val="hybridMultilevel"/>
    <w:tmpl w:val="A014A73A"/>
    <w:lvl w:ilvl="0" w:tplc="4DD66EEA">
      <w:start w:val="1"/>
      <w:numFmt w:val="decimal"/>
      <w:lvlText w:val="%1）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783A2A85"/>
    <w:multiLevelType w:val="hybridMultilevel"/>
    <w:tmpl w:val="EE6C4EA2"/>
    <w:lvl w:ilvl="0" w:tplc="04090011">
      <w:start w:val="1"/>
      <w:numFmt w:val="decimal"/>
      <w:lvlText w:val="%1)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MzM3MTU3MjU0NzRW0lEKTi0uzszPAykwqgUA25NmESwAAAA="/>
  </w:docVars>
  <w:rsids>
    <w:rsidRoot w:val="00BF102B"/>
    <w:rsid w:val="000113B3"/>
    <w:rsid w:val="00027869"/>
    <w:rsid w:val="00071E86"/>
    <w:rsid w:val="000747E8"/>
    <w:rsid w:val="0009025B"/>
    <w:rsid w:val="000A2D57"/>
    <w:rsid w:val="000A4584"/>
    <w:rsid w:val="000F3E0F"/>
    <w:rsid w:val="00106205"/>
    <w:rsid w:val="001063A4"/>
    <w:rsid w:val="00115D43"/>
    <w:rsid w:val="00130D9E"/>
    <w:rsid w:val="001315BD"/>
    <w:rsid w:val="00182576"/>
    <w:rsid w:val="001B08A3"/>
    <w:rsid w:val="001B5DFA"/>
    <w:rsid w:val="002004E7"/>
    <w:rsid w:val="002206DF"/>
    <w:rsid w:val="00255466"/>
    <w:rsid w:val="002607BC"/>
    <w:rsid w:val="002A042E"/>
    <w:rsid w:val="002C5D81"/>
    <w:rsid w:val="002D4E1B"/>
    <w:rsid w:val="00303060"/>
    <w:rsid w:val="00303552"/>
    <w:rsid w:val="00333E94"/>
    <w:rsid w:val="00340C75"/>
    <w:rsid w:val="003572DE"/>
    <w:rsid w:val="00395E07"/>
    <w:rsid w:val="003B2866"/>
    <w:rsid w:val="003B7B3B"/>
    <w:rsid w:val="003C719E"/>
    <w:rsid w:val="003C7517"/>
    <w:rsid w:val="003D4A80"/>
    <w:rsid w:val="003F0777"/>
    <w:rsid w:val="00400589"/>
    <w:rsid w:val="00432A76"/>
    <w:rsid w:val="00466502"/>
    <w:rsid w:val="0047149B"/>
    <w:rsid w:val="00471621"/>
    <w:rsid w:val="004816C1"/>
    <w:rsid w:val="00512794"/>
    <w:rsid w:val="0051666D"/>
    <w:rsid w:val="00553EE2"/>
    <w:rsid w:val="00556DB4"/>
    <w:rsid w:val="00566451"/>
    <w:rsid w:val="00567E49"/>
    <w:rsid w:val="00584202"/>
    <w:rsid w:val="005A50DE"/>
    <w:rsid w:val="005A6D35"/>
    <w:rsid w:val="005B4F90"/>
    <w:rsid w:val="005C5D6F"/>
    <w:rsid w:val="006156E6"/>
    <w:rsid w:val="00615A21"/>
    <w:rsid w:val="00623556"/>
    <w:rsid w:val="00624BFD"/>
    <w:rsid w:val="00633C35"/>
    <w:rsid w:val="00634204"/>
    <w:rsid w:val="006535E5"/>
    <w:rsid w:val="006901AE"/>
    <w:rsid w:val="006A3D19"/>
    <w:rsid w:val="006B06B6"/>
    <w:rsid w:val="006B1F47"/>
    <w:rsid w:val="006C522A"/>
    <w:rsid w:val="006E1BC6"/>
    <w:rsid w:val="006F26EE"/>
    <w:rsid w:val="0070028E"/>
    <w:rsid w:val="00704C67"/>
    <w:rsid w:val="0074580B"/>
    <w:rsid w:val="00784D35"/>
    <w:rsid w:val="00784F1A"/>
    <w:rsid w:val="00790ACE"/>
    <w:rsid w:val="007B548B"/>
    <w:rsid w:val="007D5923"/>
    <w:rsid w:val="007F0083"/>
    <w:rsid w:val="008008ED"/>
    <w:rsid w:val="00802500"/>
    <w:rsid w:val="008263D3"/>
    <w:rsid w:val="00842319"/>
    <w:rsid w:val="00852593"/>
    <w:rsid w:val="008943AC"/>
    <w:rsid w:val="008A7480"/>
    <w:rsid w:val="008D00D5"/>
    <w:rsid w:val="008D2B5F"/>
    <w:rsid w:val="008E010D"/>
    <w:rsid w:val="008E649F"/>
    <w:rsid w:val="008E6A42"/>
    <w:rsid w:val="009575B9"/>
    <w:rsid w:val="00986BA3"/>
    <w:rsid w:val="009A4D38"/>
    <w:rsid w:val="009A6BAF"/>
    <w:rsid w:val="009B41BE"/>
    <w:rsid w:val="009F0F8E"/>
    <w:rsid w:val="00A166BA"/>
    <w:rsid w:val="00A204E8"/>
    <w:rsid w:val="00A3330D"/>
    <w:rsid w:val="00A45F9B"/>
    <w:rsid w:val="00A5436C"/>
    <w:rsid w:val="00A64566"/>
    <w:rsid w:val="00A65EB3"/>
    <w:rsid w:val="00A7062E"/>
    <w:rsid w:val="00A70C5E"/>
    <w:rsid w:val="00A71970"/>
    <w:rsid w:val="00AA570A"/>
    <w:rsid w:val="00AB2100"/>
    <w:rsid w:val="00AB6828"/>
    <w:rsid w:val="00AC7591"/>
    <w:rsid w:val="00AD63F1"/>
    <w:rsid w:val="00AE2F79"/>
    <w:rsid w:val="00B71A69"/>
    <w:rsid w:val="00B76309"/>
    <w:rsid w:val="00B77EAC"/>
    <w:rsid w:val="00BA44B6"/>
    <w:rsid w:val="00BA764C"/>
    <w:rsid w:val="00BB6018"/>
    <w:rsid w:val="00BB72B9"/>
    <w:rsid w:val="00BD0D1E"/>
    <w:rsid w:val="00BF102B"/>
    <w:rsid w:val="00C11D1C"/>
    <w:rsid w:val="00C40BF7"/>
    <w:rsid w:val="00C42143"/>
    <w:rsid w:val="00C57812"/>
    <w:rsid w:val="00C622E1"/>
    <w:rsid w:val="00C775A5"/>
    <w:rsid w:val="00CC2D25"/>
    <w:rsid w:val="00CE0AED"/>
    <w:rsid w:val="00D43995"/>
    <w:rsid w:val="00D531E6"/>
    <w:rsid w:val="00D552FC"/>
    <w:rsid w:val="00D573AE"/>
    <w:rsid w:val="00D7143E"/>
    <w:rsid w:val="00D72FCB"/>
    <w:rsid w:val="00D953E3"/>
    <w:rsid w:val="00DA0ACD"/>
    <w:rsid w:val="00DB45A3"/>
    <w:rsid w:val="00DD3D8C"/>
    <w:rsid w:val="00DD6F7C"/>
    <w:rsid w:val="00DF19CB"/>
    <w:rsid w:val="00DF51D9"/>
    <w:rsid w:val="00E15527"/>
    <w:rsid w:val="00E342FF"/>
    <w:rsid w:val="00EE5F2E"/>
    <w:rsid w:val="00F017B2"/>
    <w:rsid w:val="00F310F2"/>
    <w:rsid w:val="00F4730C"/>
    <w:rsid w:val="00F51350"/>
    <w:rsid w:val="00F60538"/>
    <w:rsid w:val="00F646F2"/>
    <w:rsid w:val="00F7125D"/>
    <w:rsid w:val="00F72847"/>
    <w:rsid w:val="00F732B8"/>
    <w:rsid w:val="00F9634C"/>
    <w:rsid w:val="00FA72FF"/>
    <w:rsid w:val="00FD2BFF"/>
    <w:rsid w:val="00FE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F8B63F"/>
  <w15:docId w15:val="{9B3E08FC-33EC-411E-A8F6-BF1B12F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0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0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02B"/>
    <w:rPr>
      <w:sz w:val="18"/>
      <w:szCs w:val="18"/>
    </w:rPr>
  </w:style>
  <w:style w:type="paragraph" w:styleId="a7">
    <w:name w:val="List Paragraph"/>
    <w:basedOn w:val="a"/>
    <w:uiPriority w:val="34"/>
    <w:qFormat/>
    <w:rsid w:val="00BF102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E2F7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2F7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10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10F2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F310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10F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1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Chinese ORG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liujulie</cp:lastModifiedBy>
  <cp:revision>6</cp:revision>
  <dcterms:created xsi:type="dcterms:W3CDTF">2018-08-03T06:47:00Z</dcterms:created>
  <dcterms:modified xsi:type="dcterms:W3CDTF">2018-08-30T03:45:00Z</dcterms:modified>
</cp:coreProperties>
</file>